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Roboto" w:cs="Roboto" w:eastAsia="Roboto" w:hAnsi="Roboto"/>
          <w:b w:val="1"/>
          <w:bCs w:val="1"/>
          <w:sz w:val="38"/>
          <w:szCs w:val="3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highlight w:val="white"/>
          <w:rtl w:val="0"/>
        </w:rPr>
        <w:t xml:space="preserve">C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highlight w:val="white"/>
          <w:rtl w:val="0"/>
        </w:rPr>
        <w:t xml:space="preserve">OOPERACIÓN INTERNACIONAL</w:t>
      </w:r>
    </w:p>
    <w:p w:rsidR="00000000" w:rsidDel="00000000" w:rsidP="00000000" w:rsidRDefault="00000000" w:rsidRPr="00000000" w14:paraId="00000002">
      <w:pPr>
        <w:pageBreakBefore w:val="0"/>
        <w:rPr>
          <w:rFonts w:ascii="Roboto" w:cs="Roboto" w:eastAsia="Roboto" w:hAnsi="Roboto"/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Roboto" w:cs="Roboto" w:eastAsia="Roboto" w:hAnsi="Roboto"/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highlight w:val="white"/>
          <w:rtl w:val="0"/>
        </w:rPr>
        <w:t xml:space="preserve">FUNCIONES Y FINES</w:t>
      </w:r>
    </w:p>
    <w:p w:rsidR="00000000" w:rsidDel="00000000" w:rsidP="00000000" w:rsidRDefault="00000000" w:rsidRPr="00000000" w14:paraId="00000004">
      <w:pPr>
        <w:pageBreakBefore w:val="0"/>
        <w:rPr>
          <w:rFonts w:ascii="Roboto" w:cs="Roboto" w:eastAsia="Roboto" w:hAnsi="Roboto"/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highlight w:val="white"/>
          <w:rtl w:val="0"/>
        </w:rPr>
        <w:t xml:space="preserve">ESTRUCTURA ORGANIZATIVA</w:t>
      </w:r>
    </w:p>
    <w:p w:rsidR="00000000" w:rsidDel="00000000" w:rsidP="00000000" w:rsidRDefault="00000000" w:rsidRPr="00000000" w14:paraId="00000005">
      <w:pPr>
        <w:pageBreakBefore w:val="0"/>
        <w:rPr>
          <w:rFonts w:ascii="Roboto" w:cs="Roboto" w:eastAsia="Roboto" w:hAnsi="Robo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Roboto" w:cs="Roboto" w:eastAsia="Roboto" w:hAnsi="Roboto"/>
          <w:b w:val="1"/>
          <w:bCs w:val="1"/>
          <w:color w:val="666666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66666"/>
          <w:sz w:val="20"/>
          <w:szCs w:val="20"/>
          <w:highlight w:val="white"/>
          <w:rtl w:val="0"/>
        </w:rPr>
        <w:t xml:space="preserve">(última actualización: noviembre de 2025)</w:t>
      </w:r>
    </w:p>
    <w:p w:rsidR="00000000" w:rsidDel="00000000" w:rsidP="00000000" w:rsidRDefault="00000000" w:rsidRPr="00000000" w14:paraId="00000007">
      <w:pPr>
        <w:pageBreakBefore w:val="0"/>
        <w:jc w:val="right"/>
        <w:rPr>
          <w:rFonts w:ascii="Roboto" w:cs="Roboto" w:eastAsia="Roboto" w:hAnsi="Roboto"/>
          <w:b w:val="1"/>
          <w:bCs w:val="1"/>
          <w:color w:val="0070c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Roboto" w:cs="Roboto" w:eastAsia="Roboto" w:hAnsi="Roboto"/>
          <w:b w:val="1"/>
          <w:bCs w:val="1"/>
          <w:color w:val="0070c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Roboto" w:cs="Roboto" w:eastAsia="Roboto" w:hAnsi="Roboto"/>
          <w:b w:val="1"/>
          <w:bCs w:val="1"/>
          <w:color w:val="0070c0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highlight w:val="white"/>
          <w:rtl w:val="0"/>
        </w:rPr>
        <w:t xml:space="preserve">FUNCIONES Y FINES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Asociación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 COOPERACIÓN INTERNACIONAL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tiene como misión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promover el desarrollo humano acorde a la dignidad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de las personas y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crear cauces de participación social para los jóvenes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en la ayuda a los más necesitados, mediante un compromiso estable de servicio y con una mentalidad abierta que sea capaz de enseñar y aprender de los demás.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Para alcanzar sus objetivos, la asociación puede desarrollar las siguientes actividades: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(artículo 3 de los estatutos):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difusión de una cultura de solidaridad y cooperación social tanto en el orden nacional como en el internacional;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promoción de contactos e iniciativas entre personas físicas o jurídicas en la vida cultural nacional o internacional;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El establecimiento por sí misma, o en colaboración con otras ONG, de programas de formación y perfeccionamiento para personal directivo, directa o indirectamente relacionado con el voluntariado;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contribución a la orientación profesional, en el marco de una cultura de servicio;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coordinación propia con asociaciones culturales y sociales, con especial atención a las de los países en vías de desarrollo, cuyos fines puedan relacionarse con los suyos, con objeto de facilitarle mutuamente o de colaborar con ellas en el posible asesoramiento cultural, jurídico, económico y, en su caso, publicitario;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organización de actividades culturales y sociales;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El fomento, mediante esta cultura de cooperación del proceso de integración europea, y desde la búsqueda de su propia identidad, promover la ayuda, la cooperación y el intercambio entre los pueblos;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El fomento de la participación juvenil en los órdenes de lo social, cultural económico y profesional;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contribución a la erradicación de la marginación y la exclusión social.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promoción de la integración y la empleabilidad de colectivos en situación de vulnerabilidad; entre otros, personas con discapacidad, refugiadas o migrantes, mediante acciones de sensibilización, así como de formación y acompañamiento para la inserción laboral.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asociación con otras entidades;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organización de cursos, conferencias, campos de trabajo, mesas redondas, entrevistas, etc;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publicidad de sus fines y de las necesidades que tuviere, a fin de recabar la ayuda que fuere necesaria;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El fomento de la publicación de libros, revista, vídeos, diapositivas, etc;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solicitud de becas y ayudas económicas de todo tipo;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organización de programas de cooperación al desarrollo;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organización de actividades de fortalecimiento institucional, educación para el desarrollo y educación medioambiental;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colaboración y participación en proyectos y programas de cooperación social, cultural, artística, etc, en régimen de corresponsabilidad con organismo competentes de la Administración del Estado Español o la de cualquier Autonomía, así como con la Comunidad Europea, con otras Organizaciones no Gubernamentales (ONG) y cualesquiera otras entidades, tanto públicas como privadas, españolas o extranjeras;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promoción de la Responsabilidad Social Empresarial, a través de acciones de sensibilización y de voluntariado corporativo.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  <w:bCs w:val="1"/>
          <w:sz w:val="40"/>
          <w:szCs w:val="4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highlight w:val="white"/>
          <w:rtl w:val="0"/>
        </w:rPr>
        <w:t xml:space="preserve">ESTRUCTURA ORGANIZATIVA</w:t>
      </w:r>
    </w:p>
    <w:p w:rsidR="00000000" w:rsidDel="00000000" w:rsidP="00000000" w:rsidRDefault="00000000" w:rsidRPr="00000000" w14:paraId="00000027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Asociación fue constituida el 25 de octubre de 1993, al amparo del art 22 de la Constitución, como una Asociación sin ánimo de lucro, por tiempo indefinido. </w:t>
      </w:r>
    </w:p>
    <w:p w:rsidR="00000000" w:rsidDel="00000000" w:rsidP="00000000" w:rsidRDefault="00000000" w:rsidRPr="00000000" w14:paraId="00000029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Asociación se rige por la Ley 1/2002, de 22 de marzo y por sus estatutos, una vez adaptados a las nuevas necesidades asociativas de dicha Ley con fecha 5 de diciembre de 2003, y está inscrita en el Registro Nacional de Asociaciones del Ministerio  del Interior con el Nº 129.466.</w:t>
      </w:r>
    </w:p>
    <w:p w:rsidR="00000000" w:rsidDel="00000000" w:rsidP="00000000" w:rsidRDefault="00000000" w:rsidRPr="00000000" w14:paraId="0000002A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Fue declarada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Entidad de Utilidad Pública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por Orden Ministerial de 8 de enero de 1999.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sz w:val="40"/>
          <w:szCs w:val="4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highlight w:val="white"/>
          <w:rtl w:val="0"/>
        </w:rPr>
        <w:t xml:space="preserve">Asamblea General</w:t>
      </w:r>
    </w:p>
    <w:p w:rsidR="00000000" w:rsidDel="00000000" w:rsidP="00000000" w:rsidRDefault="00000000" w:rsidRPr="00000000" w14:paraId="0000002D">
      <w:pPr>
        <w:pageBreakBefore w:val="0"/>
        <w:rPr>
          <w:rFonts w:ascii="Roboto" w:cs="Roboto" w:eastAsia="Roboto" w:hAnsi="Roboto"/>
          <w:b w:val="1"/>
          <w:bCs w:val="1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Máximo órgano de gobierno compuesto por 160 socios de número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: 46 pe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2"/>
          <w:szCs w:val="22"/>
          <w:rtl w:val="0"/>
        </w:rPr>
        <w:t xml:space="preserve">rsonas físicas y 114 personas jurídicas (asociaciones juveniles, colegios, empresas)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Las Asociaciones juveniles socias ostentan una representación en la Asamblea General, equivalente al número de socios que integren a su vez tales asociaciones. Actualmente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2"/>
          <w:szCs w:val="22"/>
          <w:rtl w:val="0"/>
        </w:rPr>
        <w:t xml:space="preserve">las asociaciones juveniles representan a 6.251 socios/as juveniles.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Roboto" w:cs="Roboto" w:eastAsia="Roboto" w:hAnsi="Roboto"/>
          <w:b w:val="1"/>
          <w:bCs w:val="1"/>
          <w:sz w:val="40"/>
          <w:szCs w:val="4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highlight w:val="white"/>
          <w:rtl w:val="0"/>
        </w:rPr>
        <w:t xml:space="preserve">Junta Directiva</w:t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La Junta Directiva de la Asociación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es el órgano de representación y administración de la Asociación. </w:t>
      </w:r>
    </w:p>
    <w:p w:rsidR="00000000" w:rsidDel="00000000" w:rsidP="00000000" w:rsidRDefault="00000000" w:rsidRPr="00000000" w14:paraId="00000032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Además, evalúa el alcance de los objetivos y el impacto de las acciones desarrolladas por la Asociación.</w:t>
      </w:r>
    </w:p>
    <w:p w:rsidR="00000000" w:rsidDel="00000000" w:rsidP="00000000" w:rsidRDefault="00000000" w:rsidRPr="00000000" w14:paraId="00000033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En la actualidad, mantiene otorgados poderes generales a favor del Presidente y del Director General. También ha delegado determinadas facultades en los directores de las áreas territoriales.</w:t>
      </w:r>
    </w:p>
    <w:p w:rsidR="00000000" w:rsidDel="00000000" w:rsidP="00000000" w:rsidRDefault="00000000" w:rsidRPr="00000000" w14:paraId="00000035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En la actualidad, está compuesta por 12 miembros, personas físicas.</w:t>
      </w:r>
    </w:p>
    <w:p w:rsidR="00000000" w:rsidDel="00000000" w:rsidP="00000000" w:rsidRDefault="00000000" w:rsidRPr="00000000" w14:paraId="00000036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highlight w:val="white"/>
          <w:rtl w:val="0"/>
        </w:rPr>
        <w:t xml:space="preserve">Junta Directiva Sección Juvenil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Órgano de gobierno de la Sección Juvenil.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Sección Juvenil no tiene personalidad jurídica propia; forma parte de la asociación y está sometida a las decisiones que se adopten en la Asamblea General de la misma. Sin embargo, cuenta con autonomía funcional, organizativa y de gobierno propios y dispone de capacidad de representación y actuación para los asuntos específicamente juveniles.</w:t>
      </w:r>
    </w:p>
    <w:p w:rsidR="00000000" w:rsidDel="00000000" w:rsidP="00000000" w:rsidRDefault="00000000" w:rsidRPr="00000000" w14:paraId="0000003A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Los miembros de la JD de la sección juvenil tendrán voz y voto en la Asamblea General.</w:t>
      </w:r>
    </w:p>
    <w:p w:rsidR="00000000" w:rsidDel="00000000" w:rsidP="00000000" w:rsidRDefault="00000000" w:rsidRPr="00000000" w14:paraId="0000003B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El presidente de la Junta Directiva de la Sección juvenil forma parte de la Junta Directiva de la Asociación.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highlight w:val="white"/>
          <w:rtl w:val="0"/>
        </w:rPr>
        <w:t xml:space="preserve">Junta Directiva Sección de Mujer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Órgano de gobierno de la Sección de Mujer. </w:t>
      </w:r>
    </w:p>
    <w:p w:rsidR="00000000" w:rsidDel="00000000" w:rsidP="00000000" w:rsidRDefault="00000000" w:rsidRPr="00000000" w14:paraId="0000003E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sección se dedica específicamente a la planificación y gestión de las actividades de promoción de la igualdad entre hombres y mujeres y la formación y capacitación de la mujer.</w:t>
      </w:r>
    </w:p>
    <w:p w:rsidR="00000000" w:rsidDel="00000000" w:rsidP="00000000" w:rsidRDefault="00000000" w:rsidRPr="00000000" w14:paraId="0000003F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Al igual que en la sección juvenil, esta sección no tiene personalidad jurídica propia; forma parte de la asociación y está sometida a las decisiones que se adopten en la Asamblea General de la misma.</w:t>
      </w:r>
    </w:p>
    <w:p w:rsidR="00000000" w:rsidDel="00000000" w:rsidP="00000000" w:rsidRDefault="00000000" w:rsidRPr="00000000" w14:paraId="00000040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La presidenta de la Junta Directiva de la Sección de Mujer forma parte de la Junta Directiva de la Asociación.</w:t>
      </w:r>
    </w:p>
    <w:p w:rsidR="00000000" w:rsidDel="00000000" w:rsidP="00000000" w:rsidRDefault="00000000" w:rsidRPr="00000000" w14:paraId="00000041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color w:val="0070c0"/>
          <w:sz w:val="48"/>
          <w:szCs w:val="4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highlight w:val="white"/>
          <w:rtl w:val="0"/>
        </w:rPr>
        <w:t xml:space="preserve">Equipo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El equipo de la Asociación está formado por 45 personas contratadas y 8 voluntarios.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highlight w:val="white"/>
          <w:rtl w:val="0"/>
        </w:rPr>
        <w:t xml:space="preserve">Comité de Dirección</w:t>
      </w:r>
    </w:p>
    <w:tbl>
      <w:tblPr>
        <w:tblStyle w:val="Table1"/>
        <w:tblW w:w="8760.0" w:type="dxa"/>
        <w:jc w:val="left"/>
        <w:tblInd w:w="-73.99999999999999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8760"/>
        <w:tblGridChange w:id="0">
          <w:tblGrid>
            <w:gridCol w:w="8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Su función es deliberativa y consultiva sobre los asuntos diarios de la Asociación. Está compuesto por 5 miembros: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Rafael Herraiz Solla: Director General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De forma solidaria, con el Presidente, ostenta la representación legal e institucional de la Asociación. Reporta al Presidente y a la Junta Directiva el desarrollo de las actividades, presupuestos, iniciativas y resultados.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Teresa Martín Aguado: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Dire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ctora del área de Proyectos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Iciar Lumbreras González-Serrano: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Directora de Desarrollo Corporativo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Irene Olmedo Bernal: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Directora del área de Administración y responsable de Calidad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Pedro Ortega Campos: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 Director del Area Territorial de Andalucía Occidental y Extremadura y responsable de Cumplimiento Normativo.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highlight w:val="white"/>
          <w:rtl w:val="0"/>
        </w:rPr>
        <w:t xml:space="preserve">Responsable de cumplimiento normativo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Pedro Ortega Campos: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Le corresponde difundir y ayudar a comprender el Código de Conducta y de cualquier otra norma interna, como el Manual de prevención de delitos penales y los diferentes protocolos con los que cuente en cada momento la Asociación. Gestiona las denuncias recibidas a través del canal de denuncias.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Reporta directamente al Comité de Dirección y a la Junta Directiva.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b w:val="1"/>
          <w:bCs w:val="1"/>
          <w:color w:val="0070c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highlight w:val="white"/>
          <w:rtl w:val="0"/>
        </w:rPr>
        <w:t xml:space="preserve">Departamento de Proyectos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70.0" w:type="dxa"/>
        <w:jc w:val="left"/>
        <w:tblInd w:w="-10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065"/>
        <w:gridCol w:w="4305"/>
        <w:tblGridChange w:id="0">
          <w:tblGrid>
            <w:gridCol w:w="4065"/>
            <w:gridCol w:w="4305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Dirección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Teresa Martín Aguado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Técnicos de gestión</w:t>
            </w:r>
          </w:p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(sede Núñez Morgado)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Jacobo Hernández de Armijo</w:t>
            </w:r>
          </w:p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Alvaro Rodriguez Estévez</w:t>
            </w:r>
          </w:p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Virginia Vela Valldecabres</w:t>
            </w:r>
          </w:p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Marta Gambino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Técnicos de apoyo socioeducativo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(sedes Villa de Vallecas y Tetuán)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Victoria Díaz Alcalde</w:t>
            </w:r>
          </w:p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Teresa de la Infiesta Asúa</w:t>
            </w:r>
          </w:p>
        </w:tc>
      </w:tr>
    </w:tbl>
    <w:p w:rsidR="00000000" w:rsidDel="00000000" w:rsidP="00000000" w:rsidRDefault="00000000" w:rsidRPr="00000000" w14:paraId="00000061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Area dedicada a la formulación, gestión-seguimiento y justificación de proyectos subvencionados con fondos públicos o privados.</w:t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Gestiona la actividad voluntaria de jóvenes</w:t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Realiza actividades de sensibilización en centros educativos y asociaciones juveniles.</w:t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Gestiona los programas de apoyo socioeducativo a menores en riesgo de exclusión en las sedes de Tetuán y Villa de Vallecas.</w:t>
      </w:r>
    </w:p>
    <w:p w:rsidR="00000000" w:rsidDel="00000000" w:rsidP="00000000" w:rsidRDefault="00000000" w:rsidRPr="00000000" w14:paraId="00000066">
      <w:pPr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  <w:b w:val="1"/>
          <w:bCs w:val="1"/>
          <w:color w:val="0070c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highlight w:val="white"/>
          <w:rtl w:val="0"/>
        </w:rPr>
        <w:t xml:space="preserve">Departamento de Desarrollo Corporativo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70c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  <w:color w:val="0070c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15.0" w:type="dxa"/>
        <w:jc w:val="left"/>
        <w:tblInd w:w="-1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000"/>
      </w:tblPr>
      <w:tblGrid>
        <w:gridCol w:w="2955"/>
        <w:gridCol w:w="5160"/>
        <w:tblGridChange w:id="0">
          <w:tblGrid>
            <w:gridCol w:w="2955"/>
            <w:gridCol w:w="516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Dirección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Iciar Lumbreras González Serrano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Técnicos de gestión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María Mompó Boluda</w:t>
            </w:r>
          </w:p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Sonsoles Calavera Pérez</w:t>
            </w:r>
          </w:p>
        </w:tc>
      </w:tr>
    </w:tbl>
    <w:p w:rsidR="00000000" w:rsidDel="00000000" w:rsidP="00000000" w:rsidRDefault="00000000" w:rsidRPr="00000000" w14:paraId="0000006E">
      <w:pPr>
        <w:rPr>
          <w:rFonts w:ascii="Roboto" w:cs="Roboto" w:eastAsia="Roboto" w:hAnsi="Roboto"/>
          <w:b w:val="1"/>
          <w:bCs w:val="1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Area dedicada a la  gestión 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de voluntariado corporativo, campañas y eventos solidarios.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  <w:b w:val="1"/>
          <w:bCs w:val="1"/>
          <w:color w:val="0070c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highlight w:val="white"/>
          <w:rtl w:val="0"/>
        </w:rPr>
        <w:t xml:space="preserve">Departamento de Administración, personal y finanzas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color w:val="0070c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15.0" w:type="dxa"/>
        <w:jc w:val="left"/>
        <w:tblInd w:w="-1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000"/>
      </w:tblPr>
      <w:tblGrid>
        <w:gridCol w:w="2490"/>
        <w:gridCol w:w="5925"/>
        <w:tblGridChange w:id="0">
          <w:tblGrid>
            <w:gridCol w:w="2490"/>
            <w:gridCol w:w="5925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Dirección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Irene Olmedo Bernal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Técnico Contable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Jose Antonio Peña Cárdenas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Area dedicada a la gestión del personal, obligaciones contables, fiscales y laborales.  Controla el cumplimiento de la normativa que afecta a la Asociación.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A su vez, la directora ejerce las funciones de responsable del Sistema de Gestión de Calidad.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color w:val="0070c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highlight w:val="white"/>
          <w:rtl w:val="0"/>
        </w:rPr>
        <w:t xml:space="preserve">Departamento de Comunicación</w:t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  <w:color w:val="0070c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74447233"/>
        <w:tag w:val="goog_rdk_0"/>
      </w:sdtPr>
      <w:sdtContent>
        <w:tbl>
          <w:tblPr>
            <w:tblStyle w:val="Table5"/>
            <w:tblW w:w="8430.0" w:type="dxa"/>
            <w:jc w:val="left"/>
            <w:tblInd w:w="-1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505"/>
            <w:gridCol w:w="5925"/>
            <w:tblGridChange w:id="0">
              <w:tblGrid>
                <w:gridCol w:w="2505"/>
                <w:gridCol w:w="5925"/>
              </w:tblGrid>
            </w:tblGridChange>
          </w:tblGrid>
          <w:tr>
            <w:trPr>
              <w:cantSplit w:val="0"/>
              <w:trHeight w:val="301" w:hRule="atLeast"/>
              <w:tblHeader w:val="0"/>
            </w:trPr>
            <w:tc>
              <w:tcPr>
                <w:tcBorders>
                  <w:top w:color="ffffff" w:space="0" w:sz="4" w:val="single"/>
                  <w:left w:color="ffffff" w:space="0" w:sz="4" w:val="single"/>
                  <w:bottom w:color="ffffff" w:space="0" w:sz="4" w:val="single"/>
                  <w:right w:color="ffffff" w:space="0" w:sz="4" w:val="single"/>
                </w:tcBorders>
                <w:shd w:fill="ffffff" w:val="clear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20"/>
                    <w:szCs w:val="20"/>
                    <w:rtl w:val="0"/>
                  </w:rPr>
                  <w:t xml:space="preserve">Responsable</w:t>
                </w:r>
              </w:p>
            </w:tc>
            <w:tc>
              <w:tcPr>
                <w:tcBorders>
                  <w:top w:color="ffffff" w:space="0" w:sz="4" w:val="single"/>
                  <w:left w:color="ffffff" w:space="0" w:sz="4" w:val="single"/>
                  <w:bottom w:color="ffffff" w:space="0" w:sz="4" w:val="single"/>
                  <w:right w:color="ffffff" w:space="0" w:sz="4" w:val="single"/>
                </w:tcBorders>
                <w:shd w:fill="ffffff" w:val="clear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Carmen Fumanal  </w:t>
                </w:r>
              </w:p>
            </w:tc>
          </w:tr>
          <w:tr>
            <w:trPr>
              <w:cantSplit w:val="0"/>
              <w:trHeight w:val="301" w:hRule="atLeast"/>
              <w:tblHeader w:val="0"/>
            </w:trPr>
            <w:tc>
              <w:tcPr>
                <w:tcBorders>
                  <w:top w:color="ffffff" w:space="0" w:sz="4" w:val="single"/>
                  <w:left w:color="ffffff" w:space="0" w:sz="4" w:val="single"/>
                  <w:bottom w:color="ffffff" w:space="0" w:sz="4" w:val="single"/>
                  <w:right w:color="ffffff" w:space="0" w:sz="4" w:val="single"/>
                </w:tcBorders>
                <w:shd w:fill="ffffff" w:val="clear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20"/>
                    <w:szCs w:val="20"/>
                    <w:rtl w:val="0"/>
                  </w:rPr>
                  <w:t xml:space="preserve">Voluntaria</w:t>
                </w:r>
              </w:p>
            </w:tc>
            <w:tc>
              <w:tcPr>
                <w:tcBorders>
                  <w:top w:color="ffffff" w:space="0" w:sz="4" w:val="single"/>
                  <w:left w:color="ffffff" w:space="0" w:sz="4" w:val="single"/>
                  <w:bottom w:color="ffffff" w:space="0" w:sz="4" w:val="single"/>
                  <w:right w:color="ffffff" w:space="0" w:sz="4" w:val="single"/>
                </w:tcBorders>
                <w:shd w:fill="ffffff" w:val="clear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Leticia Porto Pedrosa</w:t>
                </w:r>
              </w:p>
            </w:tc>
          </w:tr>
        </w:tbl>
      </w:sdtContent>
    </w:sdt>
    <w:p w:rsidR="00000000" w:rsidDel="00000000" w:rsidP="00000000" w:rsidRDefault="00000000" w:rsidRPr="00000000" w14:paraId="0000007F">
      <w:pPr>
        <w:rPr>
          <w:rFonts w:ascii="Roboto" w:cs="Roboto" w:eastAsia="Roboto" w:hAnsi="Roboto"/>
          <w:b w:val="1"/>
          <w:bCs w:val="1"/>
          <w:color w:val="0070c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highlight w:val="white"/>
          <w:rtl w:val="0"/>
        </w:rPr>
        <w:t xml:space="preserve">Areas territoriales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Sedes situadas en diferentes provincias españolas, sin personalidad jurídica propia, pero con autonomía organizativa y funcional.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Los directores de las delegaciones representan a la Asociación dentro del ámbito territorial que la Junta Directiva les ha encomendado y ostentan determinadas competencias y facultades, que pueden desempeñar solidaria o mancomunadamente, junto con el Director General, según la naturaleza del acto.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Bajo la supervisión del Director General, planifican sus proyectos y sus presupuestos.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Cuentan con técnicos de gestión contratados y con personal voluntario.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Las áreas territoriales pueden abarcar más de una comunidad autónoma.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En la actualidad, las delegaciones y sus directores son: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Galicia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Inmaculada González Cayado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Castilla y León, Asturias y Cantabria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highlight w:val="white"/>
          <w:rtl w:val="0"/>
        </w:rPr>
        <w:t xml:space="preserve">: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Tania Velasco Martín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Aragón, La Rioja y País Vasco: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Pedro Herraiz Bayod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Comunidad Valenciana, Murcia y Baleares</w:t>
      </w:r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Pablo Calomarde Alamar</w:t>
      </w:r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Andalucía Occidental y Extremadura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highlight w:val="white"/>
          <w:rtl w:val="0"/>
        </w:rPr>
        <w:t xml:space="preserve">: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Pedro Ortega Campos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Andalucía Oriental: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Carlos Pagés Larruy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Canarias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Alfonso Sanchez Romero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0"/>
          <w:szCs w:val="20"/>
          <w:rtl w:val="0"/>
        </w:rPr>
        <w:t xml:space="preserve">Madrid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Rafael Herraiz Solla (Director General)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417.3228346456694" w:top="2267.716535433071" w:left="1700.7874015748032" w:right="1700.7874015748032" w:header="708" w:footer="39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701"/>
        <w:tab w:val="left" w:leader="none" w:pos="3969"/>
      </w:tabs>
      <w:spacing w:after="0" w:before="0" w:line="240" w:lineRule="auto"/>
      <w:ind w:left="-851" w:right="0" w:firstLine="0"/>
      <w:jc w:val="left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5f5f5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701"/>
        <w:tab w:val="left" w:leader="none" w:pos="3969"/>
      </w:tabs>
      <w:spacing w:after="0" w:before="0" w:line="240" w:lineRule="auto"/>
      <w:ind w:left="-567" w:right="0" w:firstLine="0"/>
      <w:jc w:val="left"/>
      <w:rPr>
        <w:rFonts w:ascii="Roboto" w:cs="Roboto" w:eastAsia="Roboto" w:hAnsi="Roboto"/>
        <w:i w:val="0"/>
        <w:iCs w:val="0"/>
        <w:smallCaps w:val="0"/>
        <w:strike w:val="0"/>
        <w:color w:val="5f5f5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5f5f5f"/>
        <w:sz w:val="18"/>
        <w:szCs w:val="18"/>
        <w:rtl w:val="0"/>
      </w:rPr>
      <w:t xml:space="preserve">Domicilio social:</w:t>
    </w:r>
    <w:r w:rsidDel="00000000" w:rsidR="00000000" w:rsidRPr="00000000">
      <w:rPr>
        <w:rFonts w:ascii="Roboto" w:cs="Roboto" w:eastAsia="Roboto" w:hAnsi="Roboto"/>
        <w:color w:val="5f5f5f"/>
        <w:sz w:val="18"/>
        <w:szCs w:val="18"/>
        <w:rtl w:val="0"/>
      </w:rPr>
      <w:t xml:space="preserve"> </w:t>
    </w:r>
    <w:r w:rsidDel="00000000" w:rsidR="00000000" w:rsidRPr="00000000">
      <w:rPr>
        <w:rFonts w:ascii="Roboto" w:cs="Roboto" w:eastAsia="Roboto" w:hAnsi="Roboto"/>
        <w:i w:val="0"/>
        <w:iCs w:val="0"/>
        <w:smallCaps w:val="0"/>
        <w:strike w:val="0"/>
        <w:color w:val="5f5f5f"/>
        <w:sz w:val="18"/>
        <w:szCs w:val="18"/>
        <w:u w:val="none"/>
        <w:shd w:fill="auto" w:val="clear"/>
        <w:vertAlign w:val="baseline"/>
        <w:rtl w:val="0"/>
      </w:rPr>
      <w:t xml:space="preserve">Núñez Morgado, 3-3º; 28036 Madrid</w:t>
      <w:tab/>
      <w:tab/>
    </w:r>
    <w:r w:rsidDel="00000000" w:rsidR="00000000" w:rsidRPr="00000000">
      <w:rPr>
        <w:rFonts w:ascii="Roboto" w:cs="Roboto" w:eastAsia="Roboto" w:hAnsi="Roboto"/>
        <w:b w:val="1"/>
        <w:bCs w:val="1"/>
        <w:color w:val="5f5f5f"/>
        <w:sz w:val="18"/>
        <w:szCs w:val="18"/>
        <w:rtl w:val="0"/>
      </w:rPr>
      <w:t xml:space="preserve">NIF: G80829641</w:t>
    </w:r>
    <w:r w:rsidDel="00000000" w:rsidR="00000000" w:rsidRPr="00000000">
      <w:rPr>
        <w:rFonts w:ascii="Roboto" w:cs="Roboto" w:eastAsia="Roboto" w:hAnsi="Roboto"/>
        <w:i w:val="0"/>
        <w:iCs w:val="0"/>
        <w:smallCaps w:val="0"/>
        <w:strike w:val="0"/>
        <w:color w:val="5f5f5f"/>
        <w:sz w:val="18"/>
        <w:szCs w:val="18"/>
        <w:u w:val="none"/>
        <w:shd w:fill="auto" w:val="clear"/>
        <w:vertAlign w:val="baseline"/>
        <w:rtl w:val="0"/>
      </w:rPr>
      <w:tab/>
      <w:t xml:space="preserve"> </w:t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ourier" w:cs="Courier" w:eastAsia="Courier" w:hAnsi="Courie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rPr>
        <w:rFonts w:ascii="Courier" w:cs="Courier" w:eastAsia="Courier" w:hAnsi="Courie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1"/>
        <w:bCs w:val="1"/>
        <w:color w:val="434343"/>
        <w:sz w:val="20"/>
        <w:szCs w:val="20"/>
        <w:rtl w:val="0"/>
      </w:rPr>
      <w:t xml:space="preserve">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3800475</wp:posOffset>
          </wp:positionH>
          <wp:positionV relativeFrom="paragraph">
            <wp:posOffset>38100</wp:posOffset>
          </wp:positionV>
          <wp:extent cx="1876108" cy="578955"/>
          <wp:effectExtent b="0" l="0" r="0" t="0"/>
          <wp:wrapNone/>
          <wp:docPr id="8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6108" cy="5789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>
        <w:rFonts w:ascii="Poppins" w:cs="Poppins" w:eastAsia="Poppins" w:hAnsi="Poppins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rPr>
        <w:rFonts w:ascii="Poppins" w:cs="Poppins" w:eastAsia="Poppins" w:hAnsi="Poppins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" w:cs="Courier" w:eastAsia="Courier" w:hAnsi="Courier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itularnotadeprensa" w:customStyle="1">
    <w:name w:val="Titular nota de prensa"/>
    <w:autoRedefine w:val="1"/>
    <w:pPr>
      <w:jc w:val="center"/>
    </w:pPr>
    <w:rPr>
      <w:rFonts w:ascii="Didot" w:hAnsi="Didot"/>
      <w:color w:val="000080"/>
      <w:sz w:val="96"/>
      <w:szCs w:val="96"/>
      <w:lang w:eastAsia="es-ES_tradnl" w:val="es-ES_tradnl"/>
    </w:rPr>
  </w:style>
  <w:style w:type="paragraph" w:styleId="02-Entradillanotadeprensa" w:customStyle="1">
    <w:name w:val="02-Entradilla nota de prensa"/>
    <w:autoRedefine w:val="1"/>
    <w:pPr>
      <w:tabs>
        <w:tab w:val="left" w:pos="1701"/>
      </w:tabs>
      <w:ind w:left="284" w:right="329"/>
      <w:jc w:val="both"/>
    </w:pPr>
    <w:rPr>
      <w:rFonts w:ascii="Arial" w:hAnsi="Arial"/>
      <w:sz w:val="22"/>
      <w:szCs w:val="24"/>
      <w:lang w:eastAsia="es-ES_tradnl" w:val="es-ES_tradnl"/>
    </w:rPr>
  </w:style>
  <w:style w:type="paragraph" w:styleId="03-cuerpodetexto" w:customStyle="1">
    <w:name w:val="03-cuerpo de texto"/>
    <w:basedOn w:val="Normal"/>
    <w:autoRedefine w:val="1"/>
    <w:pPr>
      <w:jc w:val="both"/>
    </w:pPr>
    <w:rPr>
      <w:rFonts w:ascii="Arial" w:hAnsi="Arial"/>
      <w:color w:val="000000"/>
      <w:sz w:val="22"/>
      <w:szCs w:val="20"/>
    </w:rPr>
  </w:style>
  <w:style w:type="paragraph" w:styleId="04-Ladillo" w:customStyle="1">
    <w:name w:val="04-Ladillo"/>
    <w:basedOn w:val="03-cuerpodetexto"/>
    <w:next w:val="03-cuerpodetexto"/>
    <w:autoRedefine w:val="1"/>
    <w:rPr>
      <w:b w:val="1"/>
    </w:rPr>
  </w:style>
  <w:style w:type="paragraph" w:styleId="Encabezado">
    <w:name w:val="header"/>
    <w:basedOn w:val="Normal"/>
    <w:semiHidden w:val="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 w:val="1"/>
    <w:pPr>
      <w:tabs>
        <w:tab w:val="center" w:pos="4252"/>
        <w:tab w:val="right" w:pos="8504"/>
      </w:tabs>
    </w:pPr>
  </w:style>
  <w:style w:type="character" w:styleId="Textoennegrita">
    <w:name w:val="Strong"/>
    <w:qFormat w:val="1"/>
    <w:rPr>
      <w:b w:val="1"/>
      <w:bCs w:val="1"/>
    </w:rPr>
  </w:style>
  <w:style w:type="character" w:styleId="Hipervnculo">
    <w:name w:val="Hyperlink"/>
    <w:semiHidden w:val="1"/>
    <w:rPr>
      <w:color w:val="0000ff"/>
      <w:u w:val="single"/>
    </w:rPr>
  </w:style>
  <w:style w:type="paragraph" w:styleId="NormalWeb">
    <w:name w:val="Normal (Web)"/>
    <w:basedOn w:val="Normal"/>
    <w:semiHidden w:val="1"/>
    <w:pPr>
      <w:spacing w:after="100" w:before="100"/>
    </w:pPr>
    <w:rPr>
      <w:rFonts w:ascii="Times New Roman" w:hAnsi="Times New Roman"/>
      <w:lang w:eastAsia="es-ES" w:val="es-ES"/>
    </w:rPr>
  </w:style>
  <w:style w:type="character" w:styleId="Nmerodepgina">
    <w:name w:val="page number"/>
    <w:basedOn w:val="Fuentedeprrafopredeter"/>
    <w:semiHidden w:val="1"/>
  </w:style>
  <w:style w:type="paragraph" w:styleId="Ana" w:customStyle="1">
    <w:name w:val="Ana"/>
    <w:basedOn w:val="Normal"/>
    <w:pPr>
      <w:numPr>
        <w:numId w:val="5"/>
      </w:numPr>
    </w:pPr>
    <w:rPr>
      <w:rFonts w:ascii="Times New Roman" w:hAnsi="Times New Roman"/>
      <w:lang w:eastAsia="es-ES" w:val="es-ES"/>
    </w:rPr>
  </w:style>
  <w:style w:type="character" w:styleId="Ttulo1Car" w:customStyle="1">
    <w:name w:val="Título 1 Car"/>
    <w:link w:val="Ttulo1"/>
    <w:uiPriority w:val="9"/>
    <w:rsid w:val="004B46B5"/>
    <w:rPr>
      <w:rFonts w:ascii="Cambria" w:hAnsi="Cambria"/>
      <w:b w:val="1"/>
      <w:bCs w:val="1"/>
      <w:kern w:val="32"/>
      <w:sz w:val="32"/>
      <w:szCs w:val="32"/>
      <w:lang w:eastAsia="es-ES_tradnl" w:val="es-ES_tradnl"/>
    </w:rPr>
  </w:style>
  <w:style w:type="paragraph" w:styleId="ListDash1" w:customStyle="1">
    <w:name w:val="List Dash 1"/>
    <w:basedOn w:val="Normal"/>
    <w:rsid w:val="00FD3F58"/>
    <w:pPr>
      <w:numPr>
        <w:numId w:val="10"/>
      </w:numPr>
    </w:pPr>
    <w:rPr>
      <w:rFonts w:ascii="Times New Roman" w:hAnsi="Times New Roman"/>
      <w:lang w:eastAsia="en-GB" w:val="en-GB"/>
    </w:rPr>
  </w:style>
  <w:style w:type="table" w:styleId="Tablaconcuadrcula">
    <w:name w:val="Table Grid"/>
    <w:basedOn w:val="Tablanormal"/>
    <w:uiPriority w:val="59"/>
    <w:rsid w:val="000B2D7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6Car" w:customStyle="1">
    <w:name w:val="Título 6 Car"/>
    <w:link w:val="Ttulo6"/>
    <w:uiPriority w:val="9"/>
    <w:semiHidden w:val="1"/>
    <w:rsid w:val="00337B03"/>
    <w:rPr>
      <w:rFonts w:ascii="Calibri" w:cs="Times New Roman" w:eastAsia="Times New Roman" w:hAnsi="Calibri"/>
      <w:b w:val="1"/>
      <w:bCs w:val="1"/>
      <w:sz w:val="22"/>
      <w:szCs w:val="22"/>
      <w:lang w:eastAsia="es-ES_tradnl" w:val="es-ES_tradnl"/>
    </w:rPr>
  </w:style>
  <w:style w:type="table" w:styleId="Cuadrculamedia3-nfasis1">
    <w:name w:val="Medium Grid 3 Accent 1"/>
    <w:basedOn w:val="Tablanormal"/>
    <w:uiPriority w:val="69"/>
    <w:rsid w:val="008D362B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7bfde" w:val="clear"/>
      </w:tcPr>
    </w:tblStylePr>
  </w:style>
  <w:style w:type="table" w:styleId="Cuadrculamedia31" w:customStyle="1">
    <w:name w:val="Cuadrícula media 31"/>
    <w:basedOn w:val="Tablanormal"/>
    <w:uiPriority w:val="69"/>
    <w:rsid w:val="00A3295A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paragraph" w:styleId="Textoindependiente">
    <w:name w:val="Body Text"/>
    <w:basedOn w:val="Normal"/>
    <w:link w:val="TextoindependienteCar"/>
    <w:rsid w:val="009C371C"/>
    <w:pPr>
      <w:autoSpaceDE w:val="0"/>
      <w:autoSpaceDN w:val="0"/>
      <w:adjustRightInd w:val="0"/>
    </w:pPr>
    <w:rPr>
      <w:rFonts w:ascii="Times New Roman" w:hAnsi="Times New Roman"/>
      <w:sz w:val="20"/>
      <w:szCs w:val="20"/>
      <w:lang w:eastAsia="es-ES" w:val="es-ES"/>
    </w:rPr>
  </w:style>
  <w:style w:type="character" w:styleId="TextoindependienteCar" w:customStyle="1">
    <w:name w:val="Texto independiente Car"/>
    <w:link w:val="Textoindependiente"/>
    <w:rsid w:val="009C371C"/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B490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B490F"/>
    <w:rPr>
      <w:rFonts w:ascii="Tahoma" w:cs="Tahoma" w:hAnsi="Tahoma"/>
      <w:sz w:val="16"/>
      <w:szCs w:val="16"/>
      <w:lang w:eastAsia="es-ES_tradnl" w:val="es-ES_tradnl"/>
    </w:rPr>
  </w:style>
  <w:style w:type="paragraph" w:styleId="Prrafodelista">
    <w:name w:val="List Paragraph"/>
    <w:basedOn w:val="Normal"/>
    <w:uiPriority w:val="34"/>
    <w:qFormat w:val="1"/>
    <w:rsid w:val="0002164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BH8tY33XZwgm5sDuQQrau13zQ==">CgMxLjAaHgoBMBIZChcICVITChF0YWJsZS45dGtheWFlbmQ2dTgAciExMnRWVzFrcEZzQzZNbHR5ZjFIUjMyMTJUQUgtcmlPaTQ=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2020-04-17T15:43:00Z</dcterms:created>
  <dc:creator>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-709340708</vt:i4>
  </property>
</Properties>
</file>